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5822" w14:textId="77777777" w:rsidR="00323539" w:rsidRPr="001471D0" w:rsidRDefault="00323539">
      <w:pPr>
        <w:rPr>
          <w:b/>
          <w:bCs/>
          <w:lang w:val="en-US"/>
        </w:rPr>
      </w:pPr>
    </w:p>
    <w:p w14:paraId="31CA4259" w14:textId="77777777" w:rsidR="00323539" w:rsidRPr="001471D0" w:rsidRDefault="00323539">
      <w:pPr>
        <w:rPr>
          <w:b/>
          <w:bCs/>
          <w:lang w:val="en-US"/>
        </w:rPr>
      </w:pPr>
    </w:p>
    <w:p w14:paraId="7E41B709" w14:textId="77777777" w:rsidR="00323539" w:rsidRPr="001471D0" w:rsidRDefault="00323539">
      <w:pPr>
        <w:rPr>
          <w:b/>
          <w:bCs/>
          <w:lang w:val="en-US"/>
        </w:rPr>
      </w:pPr>
    </w:p>
    <w:p w14:paraId="640CE176" w14:textId="2AA56F45" w:rsidR="00890812" w:rsidRPr="001471D0" w:rsidRDefault="00323539">
      <w:pPr>
        <w:rPr>
          <w:b/>
          <w:bCs/>
          <w:lang w:val="en-US"/>
        </w:rPr>
      </w:pPr>
      <w:r w:rsidRPr="001471D0">
        <w:rPr>
          <w:b/>
          <w:bCs/>
          <w:lang w:val="en-US"/>
        </w:rPr>
        <w:t xml:space="preserve">Improving College Completion </w:t>
      </w:r>
    </w:p>
    <w:p w14:paraId="27AA6197" w14:textId="4E6EA82F" w:rsidR="00323539" w:rsidRPr="001471D0" w:rsidRDefault="00323539">
      <w:pPr>
        <w:rPr>
          <w:b/>
          <w:bCs/>
          <w:lang w:val="en-US"/>
        </w:rPr>
      </w:pPr>
    </w:p>
    <w:p w14:paraId="0636F41C" w14:textId="7974C26B" w:rsidR="00323539" w:rsidRPr="001471D0" w:rsidRDefault="00323539">
      <w:pPr>
        <w:rPr>
          <w:lang w:val="en-US"/>
        </w:rPr>
      </w:pPr>
      <w:r w:rsidRPr="001471D0">
        <w:rPr>
          <w:lang w:val="en-US"/>
        </w:rPr>
        <w:t>Student’s Name</w:t>
      </w:r>
    </w:p>
    <w:p w14:paraId="0F538CF8" w14:textId="684AE6FF" w:rsidR="00323539" w:rsidRPr="001471D0" w:rsidRDefault="00323539">
      <w:pPr>
        <w:rPr>
          <w:lang w:val="en-US"/>
        </w:rPr>
      </w:pPr>
      <w:r w:rsidRPr="001471D0">
        <w:rPr>
          <w:lang w:val="en-US"/>
        </w:rPr>
        <w:t>Institution</w:t>
      </w:r>
    </w:p>
    <w:p w14:paraId="5153DAA3" w14:textId="70EEB29B" w:rsidR="00323539" w:rsidRPr="001471D0" w:rsidRDefault="00323539">
      <w:pPr>
        <w:rPr>
          <w:lang w:val="en-US"/>
        </w:rPr>
      </w:pPr>
      <w:r w:rsidRPr="001471D0">
        <w:rPr>
          <w:lang w:val="en-US"/>
        </w:rPr>
        <w:t>Course</w:t>
      </w:r>
    </w:p>
    <w:p w14:paraId="12DA05E4" w14:textId="6D726140" w:rsidR="00323539" w:rsidRPr="001471D0" w:rsidRDefault="00323539">
      <w:pPr>
        <w:rPr>
          <w:lang w:val="en-US"/>
        </w:rPr>
      </w:pPr>
      <w:r w:rsidRPr="001471D0">
        <w:rPr>
          <w:lang w:val="en-US"/>
        </w:rPr>
        <w:t>Professor’s Name</w:t>
      </w:r>
    </w:p>
    <w:p w14:paraId="5809C025" w14:textId="787F0F22" w:rsidR="00323539" w:rsidRPr="001471D0" w:rsidRDefault="00323539">
      <w:pPr>
        <w:rPr>
          <w:lang w:val="en-US"/>
        </w:rPr>
      </w:pPr>
      <w:r w:rsidRPr="001471D0">
        <w:rPr>
          <w:lang w:val="en-US"/>
        </w:rPr>
        <w:t>Date</w:t>
      </w:r>
    </w:p>
    <w:p w14:paraId="3D748A21" w14:textId="3AE3FAB7" w:rsidR="00323539" w:rsidRPr="001471D0" w:rsidRDefault="00323539">
      <w:pPr>
        <w:rPr>
          <w:lang w:val="en-US"/>
        </w:rPr>
      </w:pPr>
      <w:r w:rsidRPr="001471D0">
        <w:rPr>
          <w:lang w:val="en-US"/>
        </w:rPr>
        <w:br w:type="page"/>
      </w:r>
    </w:p>
    <w:p w14:paraId="05DAF186" w14:textId="77777777" w:rsidR="00323539" w:rsidRPr="001471D0" w:rsidRDefault="00323539" w:rsidP="00323539">
      <w:pPr>
        <w:rPr>
          <w:b/>
          <w:bCs/>
          <w:lang w:val="en-US"/>
        </w:rPr>
      </w:pPr>
      <w:r w:rsidRPr="001471D0">
        <w:rPr>
          <w:b/>
          <w:bCs/>
          <w:lang w:val="en-US"/>
        </w:rPr>
        <w:lastRenderedPageBreak/>
        <w:t xml:space="preserve">Improving College Completion </w:t>
      </w:r>
    </w:p>
    <w:p w14:paraId="4C0A159C" w14:textId="0E38568E" w:rsidR="00587341" w:rsidRPr="001471D0" w:rsidRDefault="00587341" w:rsidP="00587341">
      <w:pPr>
        <w:ind w:firstLine="720"/>
        <w:jc w:val="left"/>
        <w:rPr>
          <w:lang w:val="en-US"/>
        </w:rPr>
      </w:pPr>
      <w:r w:rsidRPr="001471D0">
        <w:rPr>
          <w:lang w:val="en-US"/>
        </w:rPr>
        <w:t>Despite the significant interference in university and college education due to Covid-19, several policies have been enacted to improve completion. In the attempt to improve the completion of studies in universities, policies addressing affordability and financial aid have been enacted in most of these institutions. The "Financial Aid Simplification for Tennesseans (FAST) Act" advocates several changes to scholarship programs in universities</w:t>
      </w:r>
      <w:r w:rsidR="00CE540F" w:rsidRPr="001471D0">
        <w:rPr>
          <w:lang w:val="en-US"/>
        </w:rPr>
        <w:t xml:space="preserve"> </w:t>
      </w:r>
      <w:r w:rsidR="00CE540F" w:rsidRPr="001471D0">
        <w:rPr>
          <w:color w:val="000000"/>
          <w:shd w:val="clear" w:color="auto" w:fill="FFFFFF"/>
        </w:rPr>
        <w:t>("Higher Education Legislation", 2020)</w:t>
      </w:r>
      <w:r w:rsidRPr="001471D0">
        <w:rPr>
          <w:lang w:val="en-US"/>
        </w:rPr>
        <w:t>. Some of the changes include expelling superfluous programs of student loans and modifying the existing qualification rules. Another important policy is the "Utah HB 256", which advocates for the completion of "the Free Application for Federal Student Aid (FAFSA) to be qualified for specific higher education financial aid from the state</w:t>
      </w:r>
      <w:r w:rsidR="00CE540F" w:rsidRPr="001471D0">
        <w:rPr>
          <w:lang w:val="en-US"/>
        </w:rPr>
        <w:t xml:space="preserve"> </w:t>
      </w:r>
      <w:r w:rsidR="00CE540F" w:rsidRPr="001471D0">
        <w:rPr>
          <w:color w:val="000000"/>
          <w:shd w:val="clear" w:color="auto" w:fill="FFFFFF"/>
        </w:rPr>
        <w:t>("Higher Education Legislation", 2020)</w:t>
      </w:r>
      <w:r w:rsidRPr="001471D0">
        <w:rPr>
          <w:lang w:val="en-US"/>
        </w:rPr>
        <w:t>. The "Maryland HB 362" advocates for an increment in the tuition percentage that the state can reimburse to meet tuition costs in universities and colleges</w:t>
      </w:r>
      <w:r w:rsidR="00CE540F" w:rsidRPr="001471D0">
        <w:rPr>
          <w:lang w:val="en-US"/>
        </w:rPr>
        <w:t xml:space="preserve"> </w:t>
      </w:r>
      <w:r w:rsidR="00CE540F" w:rsidRPr="001471D0">
        <w:rPr>
          <w:color w:val="000000"/>
          <w:shd w:val="clear" w:color="auto" w:fill="FFFFFF"/>
        </w:rPr>
        <w:t>("Higher Education Legislation", 2020)</w:t>
      </w:r>
      <w:r w:rsidRPr="001471D0">
        <w:rPr>
          <w:lang w:val="en-US"/>
        </w:rPr>
        <w:t xml:space="preserve">. Therefore, these and other policies have created an enabling environment for the students during the Covid-19 period. Hence, irrespective of the disruption caused by the pandemic, students can still complete their studies. </w:t>
      </w:r>
    </w:p>
    <w:p w14:paraId="2F64B585" w14:textId="45814B71" w:rsidR="00CE540F" w:rsidRPr="001471D0" w:rsidRDefault="00587341" w:rsidP="00587341">
      <w:pPr>
        <w:ind w:firstLine="720"/>
        <w:jc w:val="left"/>
        <w:rPr>
          <w:lang w:val="en-US"/>
        </w:rPr>
      </w:pPr>
      <w:r w:rsidRPr="001471D0">
        <w:rPr>
          <w:lang w:val="en-US"/>
        </w:rPr>
        <w:t>In regards to the completion of college and university education, the NCSL advocates for several policies. First is, enhancing the transfer procedure between four- and two-year institutions. The policymakers can ensure that pathways are strengthened between four-year colleges and community colleges by establishing effective country transfer, formulating policy, and offering financial aid for transfer</w:t>
      </w:r>
      <w:r w:rsidR="00CE540F" w:rsidRPr="001471D0">
        <w:rPr>
          <w:lang w:val="en-US"/>
        </w:rPr>
        <w:t xml:space="preserve"> </w:t>
      </w:r>
      <w:r w:rsidR="00CE540F" w:rsidRPr="001471D0">
        <w:rPr>
          <w:color w:val="000000"/>
          <w:shd w:val="clear" w:color="auto" w:fill="FFFFFF"/>
        </w:rPr>
        <w:t>(Bautsch &amp; Williams, 2010)</w:t>
      </w:r>
      <w:r w:rsidRPr="001471D0">
        <w:rPr>
          <w:lang w:val="en-US"/>
        </w:rPr>
        <w:t>. Another essential measure is improving leadership within the colleges on student success</w:t>
      </w:r>
      <w:r w:rsidR="00CE540F" w:rsidRPr="001471D0">
        <w:rPr>
          <w:lang w:val="en-US"/>
        </w:rPr>
        <w:t xml:space="preserve"> </w:t>
      </w:r>
      <w:r w:rsidR="00CE540F" w:rsidRPr="001471D0">
        <w:rPr>
          <w:color w:val="000000"/>
          <w:shd w:val="clear" w:color="auto" w:fill="FFFFFF"/>
        </w:rPr>
        <w:t>(Bautsch &amp; Williams, 2010)</w:t>
      </w:r>
      <w:r w:rsidRPr="001471D0">
        <w:rPr>
          <w:lang w:val="en-US"/>
        </w:rPr>
        <w:t xml:space="preserve">. </w:t>
      </w:r>
      <w:r w:rsidR="00CE540F" w:rsidRPr="001471D0">
        <w:rPr>
          <w:lang w:val="en-US"/>
        </w:rPr>
        <w:t xml:space="preserve"> </w:t>
      </w:r>
      <w:r w:rsidR="00CE540F" w:rsidRPr="001471D0">
        <w:rPr>
          <w:lang w:val="en-US"/>
        </w:rPr>
        <w:t xml:space="preserve">Improving federal or state for learners' support services, funding programs, and student services that indicate effectiveness may help support students' success </w:t>
      </w:r>
      <w:r w:rsidR="00CE540F" w:rsidRPr="001471D0">
        <w:rPr>
          <w:color w:val="000000"/>
          <w:shd w:val="clear" w:color="auto" w:fill="FFFFFF"/>
        </w:rPr>
        <w:t>(Bautsch &amp; Williams, 2010)</w:t>
      </w:r>
      <w:r w:rsidR="00CE540F" w:rsidRPr="001471D0">
        <w:rPr>
          <w:lang w:val="en-US"/>
        </w:rPr>
        <w:t xml:space="preserve">.  </w:t>
      </w:r>
      <w:r w:rsidRPr="001471D0">
        <w:rPr>
          <w:lang w:val="en-US"/>
        </w:rPr>
        <w:t>Specifically, university and college presidents play an essential role in fostering a college completion culture in their campuses</w:t>
      </w:r>
      <w:r w:rsidR="00CE540F" w:rsidRPr="001471D0">
        <w:rPr>
          <w:lang w:val="en-US"/>
        </w:rPr>
        <w:t xml:space="preserve"> </w:t>
      </w:r>
      <w:r w:rsidR="00CE540F" w:rsidRPr="001471D0">
        <w:rPr>
          <w:color w:val="000000"/>
          <w:shd w:val="clear" w:color="auto" w:fill="FFFFFF"/>
        </w:rPr>
        <w:t>(Bautsch &amp; Williams, 2010)</w:t>
      </w:r>
      <w:r w:rsidRPr="001471D0">
        <w:rPr>
          <w:lang w:val="en-US"/>
        </w:rPr>
        <w:t>. They can develop strategic plans aimed at data usage; besides, they can assign roles across the institutions to implement the plan</w:t>
      </w:r>
      <w:r w:rsidR="00CE540F" w:rsidRPr="001471D0">
        <w:rPr>
          <w:lang w:val="en-US"/>
        </w:rPr>
        <w:t xml:space="preserve"> </w:t>
      </w:r>
      <w:r w:rsidR="00CE540F" w:rsidRPr="001471D0">
        <w:rPr>
          <w:color w:val="000000"/>
          <w:shd w:val="clear" w:color="auto" w:fill="FFFFFF"/>
        </w:rPr>
        <w:t>(Bautsch &amp; Williams, 2010)</w:t>
      </w:r>
      <w:r w:rsidRPr="001471D0">
        <w:rPr>
          <w:lang w:val="en-US"/>
        </w:rPr>
        <w:t xml:space="preserve">. Additionally, strong leadership may coordinate administrators' efforts, staff, and faculty to raise student success. </w:t>
      </w:r>
    </w:p>
    <w:p w14:paraId="0C380BB7" w14:textId="5D2620E7" w:rsidR="00CE540F" w:rsidRPr="001471D0" w:rsidRDefault="00CE540F" w:rsidP="00587341">
      <w:pPr>
        <w:ind w:firstLine="720"/>
        <w:jc w:val="left"/>
        <w:rPr>
          <w:lang w:val="en-US"/>
        </w:rPr>
      </w:pPr>
    </w:p>
    <w:p w14:paraId="1AC92B51" w14:textId="328F7D65" w:rsidR="00CE540F" w:rsidRPr="001471D0" w:rsidRDefault="00CE540F">
      <w:pPr>
        <w:rPr>
          <w:lang w:val="en-US"/>
        </w:rPr>
      </w:pPr>
      <w:r w:rsidRPr="001471D0">
        <w:rPr>
          <w:lang w:val="en-US"/>
        </w:rPr>
        <w:br w:type="page"/>
      </w:r>
    </w:p>
    <w:p w14:paraId="18A3E11C" w14:textId="6714D3D6" w:rsidR="001471D0" w:rsidRPr="001471D0" w:rsidRDefault="00CE540F" w:rsidP="001471D0">
      <w:pPr>
        <w:ind w:firstLine="720"/>
        <w:rPr>
          <w:b/>
          <w:bCs/>
          <w:lang w:val="en-US"/>
        </w:rPr>
      </w:pPr>
      <w:r w:rsidRPr="001471D0">
        <w:rPr>
          <w:b/>
          <w:bCs/>
          <w:lang w:val="en-US"/>
        </w:rPr>
        <w:t>References</w:t>
      </w:r>
    </w:p>
    <w:p w14:paraId="61FFAA70" w14:textId="77777777" w:rsidR="001471D0" w:rsidRPr="001471D0" w:rsidRDefault="001471D0" w:rsidP="001471D0">
      <w:pPr>
        <w:ind w:left="720" w:hanging="720"/>
        <w:jc w:val="left"/>
        <w:rPr>
          <w:color w:val="000000"/>
          <w:shd w:val="clear" w:color="auto" w:fill="FFFFFF"/>
        </w:rPr>
      </w:pPr>
      <w:r w:rsidRPr="001471D0">
        <w:rPr>
          <w:color w:val="000000"/>
          <w:shd w:val="clear" w:color="auto" w:fill="FFFFFF"/>
        </w:rPr>
        <w:t>"Higher Education Legislation". (2020). </w:t>
      </w:r>
      <w:r w:rsidRPr="001471D0">
        <w:rPr>
          <w:i/>
          <w:iCs/>
          <w:color w:val="000000"/>
          <w:shd w:val="clear" w:color="auto" w:fill="FFFFFF"/>
        </w:rPr>
        <w:t>Higher Education Legislation in 2020</w:t>
      </w:r>
      <w:r w:rsidRPr="001471D0">
        <w:rPr>
          <w:color w:val="000000"/>
          <w:shd w:val="clear" w:color="auto" w:fill="FFFFFF"/>
        </w:rPr>
        <w:t xml:space="preserve">. </w:t>
      </w:r>
      <w:proofErr w:type="spellStart"/>
      <w:r w:rsidRPr="001471D0">
        <w:rPr>
          <w:color w:val="000000"/>
          <w:shd w:val="clear" w:color="auto" w:fill="FFFFFF"/>
        </w:rPr>
        <w:t>Ncsl.org</w:t>
      </w:r>
      <w:proofErr w:type="spellEnd"/>
      <w:r w:rsidRPr="001471D0">
        <w:rPr>
          <w:color w:val="000000"/>
          <w:shd w:val="clear" w:color="auto" w:fill="FFFFFF"/>
        </w:rPr>
        <w:t xml:space="preserve">. Retrieved 1 April 2021, from </w:t>
      </w:r>
      <w:hyperlink r:id="rId6" w:history="1">
        <w:r w:rsidRPr="001471D0">
          <w:rPr>
            <w:rStyle w:val="Hyperlink"/>
            <w:shd w:val="clear" w:color="auto" w:fill="FFFFFF"/>
          </w:rPr>
          <w:t>https://www.ncsl.org/research/education/higher-education-legislation-in-2020.aspx</w:t>
        </w:r>
      </w:hyperlink>
      <w:r w:rsidRPr="001471D0">
        <w:rPr>
          <w:color w:val="000000"/>
          <w:shd w:val="clear" w:color="auto" w:fill="FFFFFF"/>
        </w:rPr>
        <w:t>.</w:t>
      </w:r>
    </w:p>
    <w:p w14:paraId="283A7E87" w14:textId="77777777" w:rsidR="001471D0" w:rsidRPr="001471D0" w:rsidRDefault="001471D0" w:rsidP="001471D0">
      <w:pPr>
        <w:ind w:left="720" w:hanging="720"/>
        <w:jc w:val="left"/>
        <w:rPr>
          <w:color w:val="000000"/>
          <w:shd w:val="clear" w:color="auto" w:fill="FFFFFF"/>
        </w:rPr>
      </w:pPr>
      <w:r w:rsidRPr="001471D0">
        <w:rPr>
          <w:color w:val="000000"/>
          <w:shd w:val="clear" w:color="auto" w:fill="FFFFFF"/>
        </w:rPr>
        <w:t>Bautsch, B., &amp; Williams, R. (2010). </w:t>
      </w:r>
      <w:r w:rsidRPr="001471D0">
        <w:rPr>
          <w:i/>
          <w:iCs/>
          <w:color w:val="000000"/>
          <w:shd w:val="clear" w:color="auto" w:fill="FFFFFF"/>
        </w:rPr>
        <w:t>The College Completion Agenda State Policy Guide</w:t>
      </w:r>
      <w:r w:rsidRPr="001471D0">
        <w:rPr>
          <w:color w:val="000000"/>
          <w:shd w:val="clear" w:color="auto" w:fill="FFFFFF"/>
        </w:rPr>
        <w:t xml:space="preserve">. </w:t>
      </w:r>
      <w:proofErr w:type="spellStart"/>
      <w:r w:rsidRPr="001471D0">
        <w:rPr>
          <w:color w:val="000000"/>
          <w:shd w:val="clear" w:color="auto" w:fill="FFFFFF"/>
        </w:rPr>
        <w:t>Ncsl.org</w:t>
      </w:r>
      <w:proofErr w:type="spellEnd"/>
      <w:r w:rsidRPr="001471D0">
        <w:rPr>
          <w:color w:val="000000"/>
          <w:shd w:val="clear" w:color="auto" w:fill="FFFFFF"/>
        </w:rPr>
        <w:t xml:space="preserve">. Retrieved 1 April 2021, from </w:t>
      </w:r>
      <w:hyperlink r:id="rId7" w:history="1">
        <w:r w:rsidRPr="001471D0">
          <w:rPr>
            <w:rStyle w:val="Hyperlink"/>
            <w:shd w:val="clear" w:color="auto" w:fill="FFFFFF"/>
          </w:rPr>
          <w:t>https://</w:t>
        </w:r>
        <w:proofErr w:type="spellStart"/>
        <w:r w:rsidRPr="001471D0">
          <w:rPr>
            <w:rStyle w:val="Hyperlink"/>
            <w:shd w:val="clear" w:color="auto" w:fill="FFFFFF"/>
          </w:rPr>
          <w:t>www.ncsl.org</w:t>
        </w:r>
        <w:proofErr w:type="spellEnd"/>
        <w:r w:rsidRPr="001471D0">
          <w:rPr>
            <w:rStyle w:val="Hyperlink"/>
            <w:shd w:val="clear" w:color="auto" w:fill="FFFFFF"/>
          </w:rPr>
          <w:t>/documents/educ/</w:t>
        </w:r>
        <w:proofErr w:type="spellStart"/>
        <w:r w:rsidRPr="001471D0">
          <w:rPr>
            <w:rStyle w:val="Hyperlink"/>
            <w:shd w:val="clear" w:color="auto" w:fill="FFFFFF"/>
          </w:rPr>
          <w:t>policyguide_062810sm.pdf</w:t>
        </w:r>
        <w:proofErr w:type="spellEnd"/>
      </w:hyperlink>
      <w:r w:rsidRPr="001471D0">
        <w:rPr>
          <w:color w:val="000000"/>
          <w:shd w:val="clear" w:color="auto" w:fill="FFFFFF"/>
        </w:rPr>
        <w:t>.</w:t>
      </w:r>
    </w:p>
    <w:p w14:paraId="6F186AA1" w14:textId="77777777" w:rsidR="00CE540F" w:rsidRPr="001471D0" w:rsidRDefault="00CE540F" w:rsidP="00CE540F">
      <w:pPr>
        <w:ind w:firstLine="720"/>
        <w:rPr>
          <w:lang w:val="en-US"/>
        </w:rPr>
      </w:pPr>
    </w:p>
    <w:p w14:paraId="46B39DB7" w14:textId="69990BC0" w:rsidR="00323539" w:rsidRPr="001471D0" w:rsidRDefault="00587341" w:rsidP="00587341">
      <w:pPr>
        <w:ind w:firstLine="720"/>
        <w:jc w:val="left"/>
        <w:rPr>
          <w:lang w:val="en-US"/>
        </w:rPr>
      </w:pPr>
      <w:r w:rsidRPr="001471D0">
        <w:rPr>
          <w:lang w:val="en-US"/>
        </w:rPr>
        <w:t xml:space="preserve">         </w:t>
      </w:r>
    </w:p>
    <w:sectPr w:rsidR="00323539" w:rsidRPr="001471D0">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EC8059" w14:textId="77777777" w:rsidR="00774C81" w:rsidRDefault="00774C81" w:rsidP="00323539">
      <w:pPr>
        <w:spacing w:line="240" w:lineRule="auto"/>
      </w:pPr>
      <w:r>
        <w:separator/>
      </w:r>
    </w:p>
  </w:endnote>
  <w:endnote w:type="continuationSeparator" w:id="0">
    <w:p w14:paraId="7A6C163C" w14:textId="77777777" w:rsidR="00774C81" w:rsidRDefault="00774C81" w:rsidP="003235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B6CB10" w14:textId="77777777" w:rsidR="00774C81" w:rsidRDefault="00774C81" w:rsidP="00323539">
      <w:pPr>
        <w:spacing w:line="240" w:lineRule="auto"/>
      </w:pPr>
      <w:r>
        <w:separator/>
      </w:r>
    </w:p>
  </w:footnote>
  <w:footnote w:type="continuationSeparator" w:id="0">
    <w:p w14:paraId="246527B6" w14:textId="77777777" w:rsidR="00774C81" w:rsidRDefault="00774C81" w:rsidP="003235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2299148"/>
      <w:docPartObj>
        <w:docPartGallery w:val="Page Numbers (Top of Page)"/>
        <w:docPartUnique/>
      </w:docPartObj>
    </w:sdtPr>
    <w:sdtEndPr>
      <w:rPr>
        <w:noProof/>
      </w:rPr>
    </w:sdtEndPr>
    <w:sdtContent>
      <w:p w14:paraId="5B46DCE2" w14:textId="0E362E9E" w:rsidR="00323539" w:rsidRDefault="0032353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9396153" w14:textId="77777777" w:rsidR="00323539" w:rsidRDefault="0032353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539"/>
    <w:rsid w:val="001471D0"/>
    <w:rsid w:val="002C567D"/>
    <w:rsid w:val="00323539"/>
    <w:rsid w:val="003D69C6"/>
    <w:rsid w:val="004D2044"/>
    <w:rsid w:val="00587341"/>
    <w:rsid w:val="0064155A"/>
    <w:rsid w:val="00664F3E"/>
    <w:rsid w:val="00774C81"/>
    <w:rsid w:val="00890812"/>
    <w:rsid w:val="009C493B"/>
    <w:rsid w:val="00CE540F"/>
    <w:rsid w:val="00F0404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83F94"/>
  <w15:chartTrackingRefBased/>
  <w15:docId w15:val="{CF15A06C-F1B4-4DFB-A63B-1B9F28BF0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en-KE" w:eastAsia="en-US" w:bidi="ar-SA"/>
      </w:rPr>
    </w:rPrDefault>
    <w:pPrDefault>
      <w:pPr>
        <w:spacing w:line="480"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23539"/>
    <w:pPr>
      <w:tabs>
        <w:tab w:val="center" w:pos="4513"/>
        <w:tab w:val="right" w:pos="9026"/>
      </w:tabs>
      <w:spacing w:line="240" w:lineRule="auto"/>
    </w:pPr>
  </w:style>
  <w:style w:type="character" w:customStyle="1" w:styleId="HeaderChar">
    <w:name w:val="Header Char"/>
    <w:basedOn w:val="DefaultParagraphFont"/>
    <w:link w:val="Header"/>
    <w:uiPriority w:val="99"/>
    <w:rsid w:val="00323539"/>
  </w:style>
  <w:style w:type="paragraph" w:styleId="Footer">
    <w:name w:val="footer"/>
    <w:basedOn w:val="Normal"/>
    <w:link w:val="FooterChar"/>
    <w:uiPriority w:val="99"/>
    <w:unhideWhenUsed/>
    <w:rsid w:val="00323539"/>
    <w:pPr>
      <w:tabs>
        <w:tab w:val="center" w:pos="4513"/>
        <w:tab w:val="right" w:pos="9026"/>
      </w:tabs>
      <w:spacing w:line="240" w:lineRule="auto"/>
    </w:pPr>
  </w:style>
  <w:style w:type="character" w:customStyle="1" w:styleId="FooterChar">
    <w:name w:val="Footer Char"/>
    <w:basedOn w:val="DefaultParagraphFont"/>
    <w:link w:val="Footer"/>
    <w:uiPriority w:val="99"/>
    <w:rsid w:val="00323539"/>
  </w:style>
  <w:style w:type="character" w:styleId="Hyperlink">
    <w:name w:val="Hyperlink"/>
    <w:basedOn w:val="DefaultParagraphFont"/>
    <w:uiPriority w:val="99"/>
    <w:unhideWhenUsed/>
    <w:rsid w:val="001471D0"/>
    <w:rPr>
      <w:color w:val="0563C1" w:themeColor="hyperlink"/>
      <w:u w:val="single"/>
    </w:rPr>
  </w:style>
  <w:style w:type="character" w:styleId="UnresolvedMention">
    <w:name w:val="Unresolved Mention"/>
    <w:basedOn w:val="DefaultParagraphFont"/>
    <w:uiPriority w:val="99"/>
    <w:semiHidden/>
    <w:unhideWhenUsed/>
    <w:rsid w:val="001471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ncsl.org/documents/educ/policyguide_062810sm.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csl.org/research/education/higher-education-legislation-in-2020.asp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CHEGE</dc:creator>
  <cp:keywords/>
  <dc:description/>
  <cp:lastModifiedBy>ERIC CHEGE</cp:lastModifiedBy>
  <cp:revision>1</cp:revision>
  <dcterms:created xsi:type="dcterms:W3CDTF">2021-04-01T14:00:00Z</dcterms:created>
  <dcterms:modified xsi:type="dcterms:W3CDTF">2021-04-01T15:58:00Z</dcterms:modified>
</cp:coreProperties>
</file>